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57" w:rsidRPr="004A4CD2" w:rsidRDefault="000A7E57" w:rsidP="000A7E57">
      <w:pPr>
        <w:jc w:val="center"/>
      </w:pPr>
      <w:r w:rsidRPr="004A4CD2">
        <w:t>Протокол</w:t>
      </w:r>
    </w:p>
    <w:p w:rsidR="000A7E57" w:rsidRDefault="000A7E57" w:rsidP="000A7E57">
      <w:pPr>
        <w:jc w:val="center"/>
      </w:pPr>
      <w:r w:rsidRPr="004A4CD2">
        <w:t xml:space="preserve">совещания Управления по регулированию контрактной системы и закупкам Пензенской области по </w:t>
      </w:r>
      <w:r>
        <w:t xml:space="preserve">рассмотрению методических рекомендаций по вопросам </w:t>
      </w:r>
      <w:r w:rsidRPr="006006FB">
        <w:t xml:space="preserve">представления сведений о доходах, </w:t>
      </w:r>
      <w:r>
        <w:t xml:space="preserve">расходах, </w:t>
      </w:r>
      <w:r w:rsidRPr="006006FB">
        <w:t xml:space="preserve">об имуществе и обязательствах имущественного характера </w:t>
      </w:r>
      <w:r>
        <w:t>и заполнение соот</w:t>
      </w:r>
      <w:r w:rsidR="002773B8">
        <w:t>ветствующей формы справки в 2021 году (за отчетный 2020</w:t>
      </w:r>
      <w:r>
        <w:t xml:space="preserve"> год</w:t>
      </w:r>
      <w:r w:rsidR="009D1BF3">
        <w:t>).</w:t>
      </w:r>
    </w:p>
    <w:p w:rsidR="009D1BF3" w:rsidRPr="000A7E57" w:rsidRDefault="009D1BF3" w:rsidP="000A7E57">
      <w:pPr>
        <w:jc w:val="center"/>
      </w:pPr>
    </w:p>
    <w:p w:rsidR="000A7E57" w:rsidRDefault="000A7E57" w:rsidP="000A7E57">
      <w:pPr>
        <w:jc w:val="both"/>
      </w:pPr>
      <w:r w:rsidRPr="000A7E57">
        <w:t xml:space="preserve">г. Пенза                                                                                                              </w:t>
      </w:r>
      <w:r w:rsidR="002773B8">
        <w:t xml:space="preserve"> 2 марта 2021</w:t>
      </w:r>
      <w:r w:rsidRPr="000A7E57">
        <w:t xml:space="preserve"> г.</w:t>
      </w:r>
      <w:r w:rsidRPr="000A7E57">
        <w:tab/>
      </w:r>
    </w:p>
    <w:p w:rsidR="00C81DAE" w:rsidRPr="000A7E57" w:rsidRDefault="00C81DAE" w:rsidP="000A7E57">
      <w:pPr>
        <w:jc w:val="both"/>
      </w:pPr>
    </w:p>
    <w:p w:rsidR="000A7E57" w:rsidRPr="000A7E57" w:rsidRDefault="002773B8" w:rsidP="000A7E57">
      <w:pPr>
        <w:jc w:val="center"/>
      </w:pPr>
      <w:proofErr w:type="gramStart"/>
      <w:r>
        <w:t>(время заседания: с 11</w:t>
      </w:r>
      <w:r w:rsidR="000A7E57" w:rsidRPr="000A7E57">
        <w:t>.00.</w:t>
      </w:r>
      <w:proofErr w:type="gramEnd"/>
      <w:r w:rsidR="000A7E57" w:rsidRPr="000A7E57">
        <w:t xml:space="preserve"> </w:t>
      </w:r>
      <w:proofErr w:type="gramStart"/>
      <w:r w:rsidR="000A7E57" w:rsidRPr="000A7E57">
        <w:t>Место проведения: г. Пенза, ул. Попова, д. 34А)</w:t>
      </w:r>
      <w:proofErr w:type="gramEnd"/>
    </w:p>
    <w:p w:rsidR="000A7E57" w:rsidRPr="000A7E57" w:rsidRDefault="000A7E57" w:rsidP="000A7E57">
      <w:pPr>
        <w:ind w:firstLine="709"/>
        <w:jc w:val="both"/>
        <w:rPr>
          <w:i/>
        </w:rPr>
      </w:pPr>
    </w:p>
    <w:p w:rsidR="000A7E57" w:rsidRPr="000A7E57" w:rsidRDefault="000A7E57" w:rsidP="000A7E57">
      <w:pPr>
        <w:ind w:firstLine="709"/>
        <w:jc w:val="both"/>
        <w:rPr>
          <w:i/>
        </w:rPr>
      </w:pPr>
      <w:r w:rsidRPr="000A7E57">
        <w:rPr>
          <w:i/>
        </w:rPr>
        <w:t>Совещание проводил:</w:t>
      </w:r>
    </w:p>
    <w:p w:rsidR="000A7E57" w:rsidRPr="000A7E57" w:rsidRDefault="000A7E57" w:rsidP="000A7E57">
      <w:pPr>
        <w:ind w:firstLine="709"/>
        <w:jc w:val="both"/>
        <w:rPr>
          <w:i/>
        </w:rPr>
      </w:pPr>
    </w:p>
    <w:p w:rsidR="000A7E57" w:rsidRPr="000A7E57" w:rsidRDefault="000A7E57" w:rsidP="000A7E57">
      <w:pPr>
        <w:tabs>
          <w:tab w:val="left" w:pos="720"/>
        </w:tabs>
        <w:suppressAutoHyphens/>
      </w:pPr>
      <w:r w:rsidRPr="000A7E57">
        <w:rPr>
          <w:b/>
        </w:rPr>
        <w:t xml:space="preserve">Мокроусов Сергей  Викторович                          </w:t>
      </w:r>
      <w:r w:rsidRPr="000A7E57">
        <w:t xml:space="preserve"> Начальник Управления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0A7E57" w:rsidRPr="000A7E57" w:rsidTr="00C81DAE">
        <w:trPr>
          <w:trHeight w:val="606"/>
        </w:trPr>
        <w:tc>
          <w:tcPr>
            <w:tcW w:w="5211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0A7E57" w:rsidRPr="000A7E57" w:rsidRDefault="000A7E57" w:rsidP="000A7E57">
            <w:pPr>
              <w:ind w:firstLine="709"/>
              <w:jc w:val="both"/>
              <w:rPr>
                <w:i/>
              </w:rPr>
            </w:pPr>
            <w:r w:rsidRPr="000A7E57">
              <w:rPr>
                <w:i/>
              </w:rPr>
              <w:t>Секретарь комиссии:</w:t>
            </w: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0A7E57" w:rsidRPr="000A7E57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>
              <w:rPr>
                <w:b/>
              </w:rPr>
              <w:t>Кулькова Алла Юрьевна</w:t>
            </w:r>
          </w:p>
        </w:tc>
        <w:tc>
          <w:tcPr>
            <w:tcW w:w="4820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  <w:p w:rsidR="002773B8" w:rsidRDefault="002773B8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  <w:p w:rsidR="002773B8" w:rsidRDefault="002773B8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 – эксперт отдела по регулированию и мониторингу контрактной системы</w:t>
            </w:r>
          </w:p>
        </w:tc>
      </w:tr>
    </w:tbl>
    <w:p w:rsidR="000A7E57" w:rsidRPr="000A7E57" w:rsidRDefault="000A7E57" w:rsidP="000A7E57">
      <w:pPr>
        <w:tabs>
          <w:tab w:val="left" w:pos="720"/>
        </w:tabs>
        <w:suppressAutoHyphens/>
        <w:rPr>
          <w:b/>
        </w:rPr>
      </w:pPr>
    </w:p>
    <w:p w:rsidR="000A7E57" w:rsidRPr="000A7E57" w:rsidRDefault="000A7E57" w:rsidP="000A7E57">
      <w:r w:rsidRPr="000A7E57">
        <w:rPr>
          <w:i/>
        </w:rPr>
        <w:t xml:space="preserve">           Присутствовали</w:t>
      </w:r>
      <w:r w:rsidRPr="000A7E57">
        <w:t xml:space="preserve">:     </w:t>
      </w:r>
      <w:r w:rsidRPr="000A7E57">
        <w:rPr>
          <w:b/>
        </w:rPr>
        <w:t xml:space="preserve">                                                                </w:t>
      </w:r>
    </w:p>
    <w:p w:rsidR="000A7E57" w:rsidRPr="000A7E57" w:rsidRDefault="000A7E57" w:rsidP="000A7E57">
      <w:pPr>
        <w:ind w:firstLine="709"/>
        <w:jc w:val="both"/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0A7E57" w:rsidRPr="000A7E57" w:rsidTr="00C81DAE">
        <w:trPr>
          <w:trHeight w:val="590"/>
        </w:trPr>
        <w:tc>
          <w:tcPr>
            <w:tcW w:w="5211" w:type="dxa"/>
          </w:tcPr>
          <w:p w:rsidR="000A7E57" w:rsidRPr="000A7E57" w:rsidRDefault="002773B8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Двенадцатова Полина Валерьевна</w:t>
            </w: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2773B8" w:rsidRPr="000A7E57" w:rsidRDefault="002773B8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Рожкова Юлия Евгеньевна</w:t>
            </w:r>
          </w:p>
          <w:p w:rsidR="002773B8" w:rsidRDefault="002773B8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2773B8" w:rsidRDefault="002773B8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Михейкина Анастасия Дмитриевна</w:t>
            </w:r>
          </w:p>
          <w:p w:rsidR="00C81DAE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C81DAE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C81DAE" w:rsidRPr="000A7E57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>
              <w:rPr>
                <w:b/>
              </w:rPr>
              <w:t>Шеменев Дмитрий Сергеевич</w:t>
            </w:r>
          </w:p>
        </w:tc>
        <w:tc>
          <w:tcPr>
            <w:tcW w:w="4820" w:type="dxa"/>
          </w:tcPr>
          <w:p w:rsidR="000A7E57" w:rsidRPr="000A7E57" w:rsidRDefault="002773B8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Начальник отдела по регулированию и мониторингу контрактной системы</w:t>
            </w:r>
          </w:p>
          <w:p w:rsidR="002773B8" w:rsidRDefault="002773B8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специалист-эксперт</w:t>
            </w:r>
            <w:r w:rsidRPr="000A7E57">
              <w:rPr>
                <w:b/>
              </w:rPr>
              <w:t xml:space="preserve"> </w:t>
            </w:r>
            <w:r w:rsidRPr="000A7E57">
              <w:t>отдела по регулированию и мониторингу контрактной системы</w:t>
            </w:r>
          </w:p>
          <w:p w:rsidR="00C81DAE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Ведущий специалист-эксперт отдела по регулированию и мониторингу контрактной системы</w:t>
            </w:r>
          </w:p>
          <w:p w:rsidR="000A7E57" w:rsidRPr="000A7E57" w:rsidRDefault="00C81DAE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осуществления закупок</w:t>
            </w:r>
            <w:r w:rsidR="000A7E57" w:rsidRPr="000A7E57">
              <w:t xml:space="preserve"> </w:t>
            </w:r>
          </w:p>
        </w:tc>
      </w:tr>
      <w:tr w:rsidR="000A7E57" w:rsidRPr="000A7E57" w:rsidTr="00C81DAE">
        <w:trPr>
          <w:trHeight w:val="590"/>
        </w:trPr>
        <w:tc>
          <w:tcPr>
            <w:tcW w:w="5211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Деревянинова Елена Анатольевна</w:t>
            </w:r>
          </w:p>
        </w:tc>
        <w:tc>
          <w:tcPr>
            <w:tcW w:w="4820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 – эксперт отдела осуществления закупок</w:t>
            </w:r>
          </w:p>
        </w:tc>
      </w:tr>
      <w:tr w:rsidR="000A7E57" w:rsidRPr="000A7E57" w:rsidTr="00C81DAE">
        <w:trPr>
          <w:trHeight w:val="590"/>
        </w:trPr>
        <w:tc>
          <w:tcPr>
            <w:tcW w:w="5211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Зеленина Ольга Николаевна</w:t>
            </w:r>
          </w:p>
        </w:tc>
        <w:tc>
          <w:tcPr>
            <w:tcW w:w="4820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 – эксперт отдела осуществления закупок</w:t>
            </w:r>
          </w:p>
        </w:tc>
      </w:tr>
      <w:tr w:rsidR="000A7E57" w:rsidRPr="000A7E57" w:rsidTr="00C81DAE">
        <w:trPr>
          <w:trHeight w:val="590"/>
        </w:trPr>
        <w:tc>
          <w:tcPr>
            <w:tcW w:w="5211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 w:rsidRPr="000A7E57">
              <w:rPr>
                <w:b/>
              </w:rPr>
              <w:t>Коробова Наталья Борисовна</w:t>
            </w:r>
          </w:p>
        </w:tc>
        <w:tc>
          <w:tcPr>
            <w:tcW w:w="4820" w:type="dxa"/>
          </w:tcPr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 – эксперт отдела осуществления закупок</w:t>
            </w:r>
          </w:p>
        </w:tc>
      </w:tr>
      <w:tr w:rsidR="000A7E57" w:rsidRPr="000A7E57" w:rsidTr="00C81DAE">
        <w:trPr>
          <w:trHeight w:val="590"/>
        </w:trPr>
        <w:tc>
          <w:tcPr>
            <w:tcW w:w="5211" w:type="dxa"/>
          </w:tcPr>
          <w:p w:rsid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C81DAE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  <w:r>
              <w:rPr>
                <w:b/>
              </w:rPr>
              <w:t>Данилова Марина Геннадьевна</w:t>
            </w:r>
          </w:p>
          <w:p w:rsidR="00C81DAE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C81DAE" w:rsidRPr="000A7E57" w:rsidRDefault="00C81DAE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rPr>
                <w:b/>
              </w:rPr>
            </w:pPr>
          </w:p>
        </w:tc>
        <w:tc>
          <w:tcPr>
            <w:tcW w:w="4820" w:type="dxa"/>
          </w:tcPr>
          <w:p w:rsid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  <w:p w:rsidR="00C81DAE" w:rsidRPr="000A7E57" w:rsidRDefault="00C81DAE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  <w:r w:rsidRPr="000A7E57">
              <w:t>Главный специалист – эксперт отдела по регулированию и мониторингу контрактной системы</w:t>
            </w: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  <w:p w:rsidR="000A7E57" w:rsidRPr="000A7E57" w:rsidRDefault="000A7E57" w:rsidP="000A7E57">
            <w:pPr>
              <w:tabs>
                <w:tab w:val="left" w:pos="720"/>
              </w:tabs>
              <w:suppressAutoHyphens/>
              <w:ind w:left="-108"/>
              <w:jc w:val="both"/>
            </w:pPr>
          </w:p>
        </w:tc>
      </w:tr>
    </w:tbl>
    <w:p w:rsidR="000A7E57" w:rsidRPr="000A7E57" w:rsidRDefault="000A7E57" w:rsidP="000A7E57">
      <w:pPr>
        <w:autoSpaceDE w:val="0"/>
        <w:autoSpaceDN w:val="0"/>
        <w:adjustRightInd w:val="0"/>
        <w:ind w:firstLine="720"/>
        <w:jc w:val="both"/>
        <w:rPr>
          <w:i/>
        </w:rPr>
      </w:pPr>
      <w:r w:rsidRPr="000A7E57">
        <w:rPr>
          <w:i/>
        </w:rPr>
        <w:t>Повестка дня:</w:t>
      </w:r>
    </w:p>
    <w:p w:rsidR="000A7E57" w:rsidRPr="000A7E57" w:rsidRDefault="000A7E57" w:rsidP="000315E3">
      <w:pPr>
        <w:autoSpaceDE w:val="0"/>
        <w:autoSpaceDN w:val="0"/>
        <w:adjustRightInd w:val="0"/>
        <w:ind w:firstLine="567"/>
        <w:jc w:val="both"/>
      </w:pPr>
      <w:r w:rsidRPr="000A7E57">
        <w:t>Порядок заполнения справки сведений о доходах, расходах, об имуществе и обязательствах</w:t>
      </w:r>
      <w:r w:rsidR="002773B8">
        <w:t xml:space="preserve"> имущественного характера в 2021 году (за отчетный 2020</w:t>
      </w:r>
      <w:r w:rsidRPr="000A7E57">
        <w:t xml:space="preserve"> год) с использованием специального прогр</w:t>
      </w:r>
      <w:r w:rsidR="00776BEB">
        <w:t>аммного обеспечения «Справки БК</w:t>
      </w:r>
      <w:r w:rsidRPr="000A7E57">
        <w:t>»</w:t>
      </w:r>
      <w:r w:rsidR="002773B8">
        <w:t xml:space="preserve"> (версия 2.4.4)</w:t>
      </w:r>
      <w:r w:rsidRPr="000A7E57">
        <w:t>.</w:t>
      </w:r>
    </w:p>
    <w:p w:rsidR="000A7E57" w:rsidRPr="000A7E57" w:rsidRDefault="000A7E57" w:rsidP="000A7E57">
      <w:pPr>
        <w:autoSpaceDE w:val="0"/>
        <w:autoSpaceDN w:val="0"/>
        <w:adjustRightInd w:val="0"/>
        <w:ind w:firstLine="709"/>
        <w:jc w:val="both"/>
      </w:pPr>
    </w:p>
    <w:p w:rsidR="000A7E57" w:rsidRPr="000A7E57" w:rsidRDefault="000A7E57" w:rsidP="000A7E57">
      <w:pPr>
        <w:autoSpaceDE w:val="0"/>
        <w:autoSpaceDN w:val="0"/>
        <w:adjustRightInd w:val="0"/>
        <w:ind w:firstLine="720"/>
        <w:jc w:val="both"/>
        <w:rPr>
          <w:i/>
        </w:rPr>
      </w:pPr>
      <w:r w:rsidRPr="000A7E57">
        <w:rPr>
          <w:i/>
        </w:rPr>
        <w:t xml:space="preserve">Слушали: </w:t>
      </w:r>
    </w:p>
    <w:p w:rsidR="000315E3" w:rsidRDefault="002773B8" w:rsidP="000315E3">
      <w:pPr>
        <w:autoSpaceDE w:val="0"/>
        <w:autoSpaceDN w:val="0"/>
        <w:adjustRightInd w:val="0"/>
        <w:ind w:firstLine="567"/>
        <w:jc w:val="both"/>
      </w:pPr>
      <w:r>
        <w:t xml:space="preserve">Главного-специалиста-эксперта </w:t>
      </w:r>
      <w:r w:rsidR="000315E3" w:rsidRPr="000A7E57">
        <w:t>отдела по регулированию и мониторингу контрактной системы</w:t>
      </w:r>
      <w:r>
        <w:t xml:space="preserve"> А.Ю. Кулькову</w:t>
      </w:r>
      <w:r w:rsidR="000315E3">
        <w:t>:</w:t>
      </w:r>
    </w:p>
    <w:p w:rsidR="000A7E57" w:rsidRDefault="000A7E57" w:rsidP="000A7E57">
      <w:pPr>
        <w:autoSpaceDE w:val="0"/>
        <w:autoSpaceDN w:val="0"/>
        <w:adjustRightInd w:val="0"/>
        <w:ind w:firstLine="567"/>
        <w:jc w:val="both"/>
      </w:pPr>
      <w:r w:rsidRPr="000A7E57">
        <w:lastRenderedPageBreak/>
        <w:t xml:space="preserve">Провела обзор </w:t>
      </w:r>
      <w:r w:rsidR="00D839D7">
        <w:t xml:space="preserve">положений </w:t>
      </w:r>
      <w:r w:rsidRPr="000A7E57">
        <w:t>Методических рекомендаций Министерства труда и социальной защиты Российской Федерации по вопросам представления сведений о доходах, расходах, об имуществе и обязательствах имущественного характера</w:t>
      </w:r>
      <w:r w:rsidR="00D839D7">
        <w:t xml:space="preserve"> (в редакции от 29.12.2020 года,</w:t>
      </w:r>
      <w:r w:rsidR="00D839D7" w:rsidRPr="00D839D7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D839D7" w:rsidRPr="00D839D7">
        <w:t>Письмо Минтруда России от 29.12.2020 N 18-2/10/В-12837</w:t>
      </w:r>
      <w:r w:rsidR="00D839D7">
        <w:t xml:space="preserve">) </w:t>
      </w:r>
      <w:r w:rsidRPr="000A7E57">
        <w:t>и заполнения соответствующей формы справки</w:t>
      </w:r>
      <w:r w:rsidR="002773B8" w:rsidRPr="002773B8">
        <w:rPr>
          <w:sz w:val="28"/>
          <w:szCs w:val="28"/>
        </w:rPr>
        <w:t xml:space="preserve"> </w:t>
      </w:r>
      <w:r w:rsidR="002773B8" w:rsidRPr="002773B8">
        <w:t>с учетом изменений нормативных правовых актов Российской Федерации</w:t>
      </w:r>
      <w:r w:rsidRPr="000A7E57">
        <w:t>.</w:t>
      </w:r>
    </w:p>
    <w:p w:rsidR="000A7E57" w:rsidRPr="000A7E57" w:rsidRDefault="000A7E57" w:rsidP="000A7E57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0A7E57" w:rsidRPr="000A7E57" w:rsidRDefault="000A7E57" w:rsidP="000A7E57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0A7E57">
        <w:rPr>
          <w:b/>
        </w:rPr>
        <w:t>РЕШИЛИ:</w:t>
      </w:r>
    </w:p>
    <w:p w:rsidR="00221655" w:rsidRDefault="0028651D" w:rsidP="000315E3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1) </w:t>
      </w:r>
      <w:r w:rsidR="0073037E">
        <w:t xml:space="preserve">Предоставить </w:t>
      </w:r>
      <w:r w:rsidR="0073037E" w:rsidRPr="000A7E57">
        <w:rPr>
          <w:bCs/>
        </w:rPr>
        <w:t>сведения о доходах, расходах, об имуществе и обязательствах имуществен</w:t>
      </w:r>
      <w:r w:rsidR="0073037E" w:rsidRPr="000A7E57">
        <w:rPr>
          <w:bCs/>
          <w:spacing w:val="-8"/>
        </w:rPr>
        <w:t>ного характера</w:t>
      </w:r>
      <w:r w:rsidR="0073037E" w:rsidRPr="0073037E">
        <w:rPr>
          <w:bCs/>
          <w:spacing w:val="-8"/>
        </w:rPr>
        <w:t xml:space="preserve"> </w:t>
      </w:r>
      <w:r w:rsidR="0073037E">
        <w:rPr>
          <w:bCs/>
          <w:spacing w:val="-8"/>
        </w:rPr>
        <w:t xml:space="preserve">с использованием специального </w:t>
      </w:r>
      <w:r w:rsidR="0073037E" w:rsidRPr="000A7E57">
        <w:t>программного обеспече</w:t>
      </w:r>
      <w:r w:rsidR="0073037E">
        <w:t>ния «Справки БК</w:t>
      </w:r>
      <w:r w:rsidR="0073037E" w:rsidRPr="000A7E57">
        <w:t>»</w:t>
      </w:r>
      <w:r w:rsidR="002773B8">
        <w:t xml:space="preserve"> (версия 2.4.4</w:t>
      </w:r>
      <w:r w:rsidR="0073037E">
        <w:t>):</w:t>
      </w:r>
    </w:p>
    <w:p w:rsidR="0073037E" w:rsidRDefault="0073037E" w:rsidP="000315E3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- до </w:t>
      </w:r>
      <w:r w:rsidR="002773B8">
        <w:t>3 марта 2021</w:t>
      </w:r>
      <w:r w:rsidRPr="000A7E57">
        <w:t xml:space="preserve"> года</w:t>
      </w:r>
      <w:r>
        <w:t xml:space="preserve"> (</w:t>
      </w:r>
      <w:r w:rsidRPr="000A7E57">
        <w:t>Начальник Управления</w:t>
      </w:r>
      <w:r>
        <w:t xml:space="preserve"> – Мокроусов С.В.; Заместитель начальника Управления – Шеменев Д.С.);</w:t>
      </w:r>
    </w:p>
    <w:p w:rsidR="000A7E57" w:rsidRDefault="0073037E" w:rsidP="000315E3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>- д</w:t>
      </w:r>
      <w:r w:rsidR="002773B8">
        <w:t>о 30 апреля 2021</w:t>
      </w:r>
      <w:r w:rsidR="000A7E57" w:rsidRPr="000A7E57">
        <w:t xml:space="preserve"> года </w:t>
      </w:r>
      <w:r w:rsidR="004B2828">
        <w:t xml:space="preserve">(все остальные </w:t>
      </w:r>
      <w:r w:rsidR="004B2828">
        <w:rPr>
          <w:bCs/>
          <w:spacing w:val="-8"/>
        </w:rPr>
        <w:t>лица, замещающие</w:t>
      </w:r>
      <w:r w:rsidR="000A7E57" w:rsidRPr="000A7E57">
        <w:rPr>
          <w:bCs/>
        </w:rPr>
        <w:t xml:space="preserve"> государственные должности Пензенской области, должности государственной гражданской Пензенской области</w:t>
      </w:r>
      <w:r w:rsidR="004B2828">
        <w:rPr>
          <w:bCs/>
        </w:rPr>
        <w:t xml:space="preserve"> и Начальник </w:t>
      </w:r>
      <w:r w:rsidR="00776BEB">
        <w:rPr>
          <w:bCs/>
        </w:rPr>
        <w:t xml:space="preserve">ГКУ </w:t>
      </w:r>
      <w:r w:rsidR="00776BEB" w:rsidRPr="00776BEB">
        <w:rPr>
          <w:bCs/>
        </w:rPr>
        <w:t>Пензенской области «Управление по осуществлению закупок Пензенской области»</w:t>
      </w:r>
      <w:r w:rsidR="00776BEB">
        <w:rPr>
          <w:bCs/>
        </w:rPr>
        <w:t xml:space="preserve"> Герасимова О.В.</w:t>
      </w:r>
      <w:r w:rsidR="004B2828" w:rsidRPr="00776BEB">
        <w:rPr>
          <w:bCs/>
        </w:rPr>
        <w:t>)</w:t>
      </w:r>
      <w:r w:rsidR="0028651D">
        <w:rPr>
          <w:bCs/>
        </w:rPr>
        <w:t>.</w:t>
      </w:r>
    </w:p>
    <w:p w:rsidR="0028651D" w:rsidRDefault="0028651D" w:rsidP="002865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>
        <w:t>2) Предоставить</w:t>
      </w:r>
      <w:r w:rsidRPr="0028651D">
        <w:rPr>
          <w:bCs/>
        </w:rPr>
        <w:t xml:space="preserve"> </w:t>
      </w:r>
      <w:r>
        <w:rPr>
          <w:bCs/>
        </w:rPr>
        <w:t>уточненные сведения</w:t>
      </w:r>
      <w:r w:rsidR="00D839D7">
        <w:rPr>
          <w:bCs/>
        </w:rPr>
        <w:t xml:space="preserve"> </w:t>
      </w:r>
      <w:r w:rsidR="003C27EA">
        <w:rPr>
          <w:bCs/>
        </w:rPr>
        <w:t xml:space="preserve">(в случае необходимости) </w:t>
      </w:r>
      <w:r>
        <w:rPr>
          <w:rFonts w:eastAsiaTheme="minorHAnsi"/>
          <w:lang w:eastAsia="en-US"/>
        </w:rPr>
        <w:t xml:space="preserve">в течение одного месяца после окончания срока представления </w:t>
      </w:r>
      <w:r w:rsidR="00622613">
        <w:rPr>
          <w:rFonts w:eastAsiaTheme="minorHAnsi"/>
          <w:lang w:eastAsia="en-US"/>
        </w:rPr>
        <w:t xml:space="preserve">основных </w:t>
      </w:r>
      <w:bookmarkStart w:id="0" w:name="_GoBack"/>
      <w:bookmarkEnd w:id="0"/>
      <w:r>
        <w:rPr>
          <w:rFonts w:eastAsiaTheme="minorHAnsi"/>
          <w:lang w:eastAsia="en-US"/>
        </w:rPr>
        <w:t>сведений</w:t>
      </w:r>
      <w:r w:rsidR="003C27EA">
        <w:rPr>
          <w:rFonts w:eastAsiaTheme="minorHAnsi"/>
          <w:lang w:eastAsia="en-US"/>
        </w:rPr>
        <w:t>, а именно в срок до 31</w:t>
      </w:r>
      <w:r>
        <w:rPr>
          <w:rFonts w:eastAsiaTheme="minorHAnsi"/>
          <w:lang w:eastAsia="en-US"/>
        </w:rPr>
        <w:t xml:space="preserve"> мая</w:t>
      </w:r>
      <w:r w:rsidR="003C27EA">
        <w:rPr>
          <w:rFonts w:eastAsiaTheme="minorHAnsi"/>
          <w:lang w:eastAsia="en-US"/>
        </w:rPr>
        <w:t xml:space="preserve"> 2021 года</w:t>
      </w:r>
      <w:r>
        <w:rPr>
          <w:rFonts w:eastAsiaTheme="minorHAnsi"/>
          <w:lang w:eastAsia="en-US"/>
        </w:rPr>
        <w:t>.</w:t>
      </w:r>
    </w:p>
    <w:p w:rsidR="000A7E57" w:rsidRPr="000A7E57" w:rsidRDefault="000A7E57" w:rsidP="000A7E57">
      <w:pPr>
        <w:autoSpaceDE w:val="0"/>
        <w:autoSpaceDN w:val="0"/>
        <w:adjustRightInd w:val="0"/>
        <w:ind w:left="567"/>
        <w:jc w:val="both"/>
        <w:outlineLvl w:val="0"/>
      </w:pPr>
    </w:p>
    <w:p w:rsidR="000A7E57" w:rsidRPr="000A7E57" w:rsidRDefault="000A7E57" w:rsidP="000A7E57">
      <w:pPr>
        <w:autoSpaceDE w:val="0"/>
        <w:autoSpaceDN w:val="0"/>
        <w:adjustRightInd w:val="0"/>
        <w:ind w:left="567"/>
        <w:jc w:val="both"/>
        <w:outlineLvl w:val="0"/>
      </w:pPr>
      <w:r w:rsidRPr="000A7E57">
        <w:rPr>
          <w:bCs/>
        </w:rPr>
        <w:t>Настоящий протокол разместить на официальном сайте Управления.</w:t>
      </w:r>
    </w:p>
    <w:p w:rsidR="000A7E57" w:rsidRPr="000A7E57" w:rsidRDefault="000A7E57" w:rsidP="000A7E5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</w:p>
    <w:p w:rsidR="000A7E57" w:rsidRPr="000A7E57" w:rsidRDefault="000A7E57" w:rsidP="000A7E5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</w:p>
    <w:p w:rsidR="000A7E57" w:rsidRPr="000A7E57" w:rsidRDefault="000A7E57" w:rsidP="000A7E57">
      <w:pPr>
        <w:autoSpaceDE w:val="0"/>
        <w:autoSpaceDN w:val="0"/>
        <w:adjustRightInd w:val="0"/>
        <w:jc w:val="both"/>
        <w:outlineLvl w:val="0"/>
        <w:rPr>
          <w:bCs/>
        </w:rPr>
      </w:pPr>
    </w:p>
    <w:p w:rsidR="00D2305B" w:rsidRDefault="00D2305B" w:rsidP="000A7E57"/>
    <w:sectPr w:rsidR="00D2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52F04"/>
    <w:multiLevelType w:val="hybridMultilevel"/>
    <w:tmpl w:val="7BB8C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57"/>
    <w:rsid w:val="000315E3"/>
    <w:rsid w:val="00031690"/>
    <w:rsid w:val="000A7E57"/>
    <w:rsid w:val="000F2859"/>
    <w:rsid w:val="00221655"/>
    <w:rsid w:val="002773B8"/>
    <w:rsid w:val="0028651D"/>
    <w:rsid w:val="00295D53"/>
    <w:rsid w:val="003608FE"/>
    <w:rsid w:val="003C27EA"/>
    <w:rsid w:val="004B2828"/>
    <w:rsid w:val="005E77AB"/>
    <w:rsid w:val="00622613"/>
    <w:rsid w:val="0073037E"/>
    <w:rsid w:val="00776BEB"/>
    <w:rsid w:val="009D1BF3"/>
    <w:rsid w:val="00C81DAE"/>
    <w:rsid w:val="00D2305B"/>
    <w:rsid w:val="00D8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12</cp:revision>
  <dcterms:created xsi:type="dcterms:W3CDTF">2019-11-29T06:18:00Z</dcterms:created>
  <dcterms:modified xsi:type="dcterms:W3CDTF">2021-03-02T11:55:00Z</dcterms:modified>
</cp:coreProperties>
</file>